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444</w:t>
      </w:r>
    </w:p>
    <w:p>
      <w:r>
        <w:t>Bundesgericht (BGE), 2001-07-05, FR</w:t>
      </w:r>
    </w:p>
    <w:p>
      <w:r>
        <w:rPr>
          <w:b/>
        </w:rPr>
        <w:t xml:space="preserve">Quelle: </w:t>
      </w:r>
      <w:r>
        <w:t>https://mcp.opencaselaw.ch/entscheid/bge_127 III 444</w:t>
      </w:r>
    </w:p>
    <w:p>
      <w:r>
        <w:t>FR: ATF 127 III 444</w:t>
      </w:r>
    </w:p>
    <w:p>
      <w:r>
        <w:t>IT: DTF 127 III 444</w:t>
      </w:r>
    </w:p>
    <w:p>
      <w:pPr>
        <w:pStyle w:val="Heading2"/>
      </w:pPr>
      <w:r>
        <w:t>Regeste</w:t>
      </w:r>
    </w:p>
    <w:p>
      <w:r>
        <w:t>Regeste Vertragsauslegung (Art. 18 Abs. 1 OR); Saldoquittung. Auch der klare Wortsinn ist für die Vertragsauslegung nicht allein massgebend, denn eine reine Buchstabenauslegung ist nicht statthaft (Präzisierung der Rechtsprechung; E. 1b). Begriff der Saldoquittung (E. 1a).</w:t>
      </w:r>
    </w:p>
    <w:p>
      <w:pPr>
        <w:pStyle w:val="Heading2"/>
      </w:pPr>
      <w:r>
        <w:t>Erwägungen</w:t>
      </w:r>
    </w:p>
    <w:p>
      <w:r>
        <w:rPr>
          <w:b/>
        </w:rPr>
        <w:t>E. 1</w:t>
      </w:r>
    </w:p>
    <w:p>
      <w:r>
        <w:t>a) Par la quittance pour solde de comptes (Saldoquittung), le créancier reconnaît que le débiteur a exécuté la prestation (reçu, au sens de l'art. 88 CO; "Wissenserklärung") et, de surcroît, que lui-même n'a pas ou plus d'autre ou plus ample prétention à faire valoir contre ce débiteur relativement à la créance ou au rapport de droit en cause (reconnaissance négative de dette; "Willenserklärung"), soit que la dette ait été remise (art. 115 CO), soit qu'elle ait été éteinte (cf. parmi d'autres: GAUCH/SCHLUEP/SCHMID/REY, Schweizerisches Obligationenrecht, Allgemeiner Teil, vol. II, 7e éd., n. 2472 s.; BGE 127 III 444 S. 445 ENGEL, Traité des obligations en droit suisse, 2e éd., p. 650 s.; WEBER, Commentaire bernois, n. 20 ss ad art. 88 CO; SCHRANER, Commentaire zurichois, n. 24 ss ad art. 88 CO; LEU, Commentaire bâlois, n. 3 ad art. 88 CO; RENZ, Die Saldoquittung und das Verzichtsverbot im schweizerischen Arbeitsrecht, thèse Zurich 1979, p. 5). En tant que déclaration de volonté unilatérale, la quittance pour solde de comptes se distingue de la transaction extrajudiciaire (Vergleich), mais elle peut y être incluse (SCHRANER, op. cit., n. 25 ad art. 88 CO). Son interprétation obéit aux mêmes règles que celles qui gouvernent l'interprétation des manifestations de volonté (SCHRANER, op. cit., n. 26 ad art. 88 CO; WEBER, op. cit., n. 27 ad art. 88 CO; ENGEL, op. cit., p. 651; RENZ, op. cit., p. 62 ss). Au demeurant, une certaine prudence est de mise avant de conclure à l'existence d'une quittance pour solde de comptes, en particulier en matière de contrat de travail et de contrat d'assurance (ENGEL, ibid.; WEBER, op. cit., n. 28 ad art. 88 CO; SCHRANER, ibid.). b) Pour déterminer s'il y a eu effectivement accord entre parties, il y a lieu de rechercher, tout d'abord, leur réelle et commune intention (art. 18 al. 1 CO). Il incombe donc au juge d'établir, dans un premier temps, la volonté réelle des parties, le cas échéant empiriquement, sur la base d'indices.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 cet égard, la jurisprudence récente a nuancé le principe selon lequel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